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1</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7</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51299E">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66:01:5301001:1837</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814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51299E">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597DD8" w:rsidRDefault="00D41FBE" w:rsidP="00597DD8">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51299E">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703"/>
        </w:trPr>
        <w:tc>
          <w:tcPr>
            <w:tcW w:w="9974" w:type="dxa"/>
            <w:gridSpan w:val="3"/>
          </w:tcPr>
          <w:p w:rsidR="0015308B" w:rsidRDefault="0051299E">
            <w:pPr>
              <w:jc w:val="center"/>
            </w:pPr>
            <w:r>
              <w:rPr>
                <w:noProof/>
                <w:lang w:eastAsia="ru-RU"/>
              </w:rPr>
              <w:drawing>
                <wp:inline distT="0" distB="0" distL="0" distR="0">
                  <wp:extent cx="6191250" cy="802005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ca8fadda-2c49-4f7d-b8f6-850bea28e1e2"/>
                            </a:extLst>
                          </a:blip>
                          <a:stretch>
                            <a:fillRect/>
                          </a:stretch>
                        </pic:blipFill>
                        <pic:spPr>
                          <a:xfrm>
                            <a:off x="0" y="0"/>
                            <a:ext cx="6191250" cy="802005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51299E">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51299E">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51299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51299E">
            <w:pPr>
              <w:rPr>
                <w:rFonts w:ascii="Times New Roman" w:eastAsia="Times New Roman" w:hAnsi="Times New Roman" w:cs="Times New Roman"/>
                <w:b/>
                <w:sz w:val="24"/>
                <w:szCs w:val="24"/>
              </w:rPr>
            </w:pPr>
            <w:bookmarkStart w:id="37" w:name="Address"/>
            <w:r w:rsidRPr="0051299E">
              <w:rPr>
                <w:rFonts w:ascii="Times New Roman" w:eastAsia="Times New Roman" w:hAnsi="Times New Roman" w:cs="Times New Roman"/>
                <w:b/>
                <w:sz w:val="24"/>
                <w:szCs w:val="24"/>
              </w:rPr>
              <w:t xml:space="preserve">Свердловская область, Алапаевский район, с. Арамашево, примерно в 80 м по направлению на юг от жилого дома по ул. </w:t>
            </w:r>
            <w:r w:rsidRPr="00ED58BB">
              <w:rPr>
                <w:rFonts w:ascii="Times New Roman" w:eastAsia="Times New Roman" w:hAnsi="Times New Roman" w:cs="Times New Roman"/>
                <w:b/>
                <w:sz w:val="24"/>
                <w:szCs w:val="24"/>
                <w:lang w:val="en-US"/>
              </w:rPr>
              <w:t>Советская, 80</w:t>
            </w:r>
            <w:bookmarkEnd w:id="37"/>
          </w:p>
        </w:tc>
        <w:tc>
          <w:tcPr>
            <w:tcW w:w="2905" w:type="dxa"/>
          </w:tcPr>
          <w:p w:rsidR="006C22A0" w:rsidRPr="00ED58BB" w:rsidRDefault="006C22A0" w:rsidP="0051299E">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51299E">
            <w:pPr>
              <w:rPr>
                <w:rFonts w:ascii="Times New Roman" w:eastAsia="Times New Roman" w:hAnsi="Times New Roman" w:cs="Times New Roman"/>
              </w:rPr>
            </w:pPr>
          </w:p>
        </w:tc>
        <w:tc>
          <w:tcPr>
            <w:tcW w:w="5368" w:type="dxa"/>
            <w:vMerge/>
          </w:tcPr>
          <w:p w:rsidR="006C22A0" w:rsidRPr="00ED58BB" w:rsidRDefault="006C22A0" w:rsidP="0051299E">
            <w:pPr>
              <w:rPr>
                <w:rFonts w:ascii="Times New Roman" w:eastAsia="Times New Roman" w:hAnsi="Times New Roman" w:cs="Times New Roman"/>
              </w:rPr>
            </w:pPr>
          </w:p>
        </w:tc>
        <w:tc>
          <w:tcPr>
            <w:tcW w:w="2905" w:type="dxa"/>
          </w:tcPr>
          <w:p w:rsidR="006C22A0" w:rsidRPr="00ED58BB" w:rsidRDefault="006C22A0" w:rsidP="00381F0B">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Ж-1 - Жилая зона индивидуальной застройки.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51299E" w:rsidRPr="0051299E" w:rsidRDefault="0051299E" w:rsidP="0051299E">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51299E">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w:t>
      </w:r>
      <w:r>
        <w:rPr>
          <w:rFonts w:ascii="Times New Roman" w:eastAsiaTheme="minorEastAsia" w:hAnsi="Times New Roman" w:cs="Times New Roman"/>
          <w:b/>
          <w:sz w:val="24"/>
          <w:szCs w:val="24"/>
          <w:lang w:eastAsia="ru-RU"/>
        </w:rPr>
        <w:t xml:space="preserve">, от </w:t>
      </w:r>
      <w:r w:rsidR="0072792C">
        <w:rPr>
          <w:rFonts w:ascii="Times New Roman" w:eastAsiaTheme="minorEastAsia" w:hAnsi="Times New Roman" w:cs="Times New Roman"/>
          <w:b/>
          <w:sz w:val="24"/>
          <w:szCs w:val="24"/>
          <w:lang w:eastAsia="ru-RU"/>
        </w:rPr>
        <w:t>28.08.2025 № 503</w:t>
      </w:r>
      <w:r w:rsidRPr="0051299E">
        <w:rPr>
          <w:rFonts w:ascii="Times New Roman" w:eastAsiaTheme="minorEastAsia" w:hAnsi="Times New Roman" w:cs="Times New Roman"/>
          <w:b/>
          <w:sz w:val="24"/>
          <w:szCs w:val="24"/>
          <w:lang w:eastAsia="ru-RU"/>
        </w:rPr>
        <w:t>)</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51299E" w:rsidRDefault="0051299E">
      <w:pPr>
        <w:shd w:val="clear" w:color="auto" w:fill="FFFFFF"/>
        <w:ind w:firstLine="180"/>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r w:rsidRPr="0051299E">
        <w:rPr>
          <w:rFonts w:ascii="Times New Roman" w:hAnsi="Times New Roman" w:cs="Times New Roman"/>
          <w:color w:val="000000"/>
          <w:sz w:val="24"/>
          <w:lang w:bidi="en-US"/>
        </w:rPr>
        <w:t>;</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дошкол</w:t>
      </w:r>
      <w:bookmarkStart w:id="47" w:name="PlaceNameMap"/>
      <w:bookmarkEnd w:id="47"/>
      <w:r>
        <w:rPr>
          <w:rFonts w:ascii="Times New Roman" w:hAnsi="Times New Roman" w:cs="Times New Roman"/>
          <w:color w:val="000000"/>
          <w:sz w:val="24"/>
        </w:rPr>
        <w:t>ьно</w:t>
      </w:r>
      <w:bookmarkStart w:id="48" w:name="AdditionTexeDelete"/>
      <w:r>
        <w:rPr>
          <w:rFonts w:ascii="Times New Roman" w:hAnsi="Times New Roman" w:cs="Times New Roman"/>
          <w:color w:val="000000"/>
          <w:sz w:val="24"/>
        </w:rPr>
        <w:t>е, начальное и среднее общее образование;</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p w:rsidR="0051299E" w:rsidRDefault="0051299E">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51299E" w:rsidRDefault="0051299E">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bookmarkEnd w:id="43"/>
    <w:bookmarkEnd w:id="44"/>
    <w:bookmarkEnd w:id="45"/>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r>
        <w:rPr>
          <w:rFonts w:ascii="Times New Roman" w:hAnsi="Times New Roman" w:cs="Times New Roman"/>
          <w:color w:val="000000"/>
          <w:sz w:val="24"/>
          <w:lang w:val="en-US" w:bidi="en-US"/>
        </w:rPr>
        <w:t>;</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w:t>
      </w:r>
      <w:bookmarkEnd w:id="48"/>
      <w:r>
        <w:rPr>
          <w:rFonts w:ascii="Times New Roman" w:hAnsi="Times New Roman" w:cs="Times New Roman"/>
          <w:color w:val="000000"/>
          <w:sz w:val="24"/>
        </w:rPr>
        <w:t>ытовое обслуживание;</w:t>
      </w:r>
    </w:p>
    <w:p w:rsidR="0051299E" w:rsidRDefault="0051299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15308B" w:rsidRDefault="0015308B"/>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76" w:type="dxa"/>
        <w:tblInd w:w="103" w:type="dxa"/>
        <w:tblLayout w:type="fixed"/>
        <w:tblLook w:val="04A0" w:firstRow="1" w:lastRow="0" w:firstColumn="1" w:lastColumn="0" w:noHBand="0" w:noVBand="1"/>
      </w:tblPr>
      <w:tblGrid>
        <w:gridCol w:w="787"/>
        <w:gridCol w:w="992"/>
        <w:gridCol w:w="1134"/>
        <w:gridCol w:w="1569"/>
        <w:gridCol w:w="1335"/>
        <w:gridCol w:w="1605"/>
        <w:gridCol w:w="1575"/>
        <w:gridCol w:w="1079"/>
      </w:tblGrid>
      <w:tr w:rsidR="0051299E">
        <w:tc>
          <w:tcPr>
            <w:tcW w:w="2913" w:type="dxa"/>
            <w:gridSpan w:val="3"/>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Минимальные отступы от границ земельного участка в целях определения мест допустимого размещения </w:t>
            </w:r>
            <w:r>
              <w:rPr>
                <w:rFonts w:ascii="Times New Roman" w:hAnsi="Times New Roman" w:cs="Times New Roman"/>
                <w:sz w:val="20"/>
                <w:szCs w:val="20"/>
              </w:rPr>
              <w:lastRenderedPageBreak/>
              <w:t>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Предельное количество этажей и (или) предельная высота зданий, строений, </w:t>
            </w:r>
            <w:r>
              <w:rPr>
                <w:rFonts w:ascii="Times New Roman" w:hAnsi="Times New Roman" w:cs="Times New Roman"/>
                <w:sz w:val="20"/>
                <w:szCs w:val="20"/>
              </w:rPr>
              <w:lastRenderedPageBreak/>
              <w:t>сооружений, ***</w:t>
            </w:r>
          </w:p>
        </w:tc>
        <w:tc>
          <w:tcPr>
            <w:tcW w:w="160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Максимальный процент застройки в границах земельного участка, определяемый как отношение суммарной </w:t>
            </w:r>
            <w:r>
              <w:rPr>
                <w:rFonts w:ascii="Times New Roman" w:hAnsi="Times New Roman" w:cs="Times New Roman"/>
                <w:sz w:val="20"/>
                <w:szCs w:val="20"/>
              </w:rPr>
              <w:lastRenderedPageBreak/>
              <w:t>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 xml:space="preserve">ным в границах территории </w:t>
            </w:r>
            <w:r>
              <w:rPr>
                <w:rFonts w:ascii="Times New Roman" w:hAnsi="Times New Roman" w:cs="Times New Roman"/>
                <w:sz w:val="20"/>
                <w:szCs w:val="20"/>
              </w:rPr>
              <w:lastRenderedPageBreak/>
              <w:t>исторического поселения федерального или регионального значения</w:t>
            </w:r>
          </w:p>
        </w:tc>
        <w:tc>
          <w:tcPr>
            <w:tcW w:w="1079"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Иные пока- затели</w:t>
            </w:r>
          </w:p>
        </w:tc>
      </w:tr>
      <w:tr w:rsidR="0051299E">
        <w:tc>
          <w:tcPr>
            <w:tcW w:w="787"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51299E">
        <w:tc>
          <w:tcPr>
            <w:tcW w:w="787"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p>
        </w:tc>
      </w:tr>
      <w:tr w:rsidR="0051299E">
        <w:tc>
          <w:tcPr>
            <w:tcW w:w="787"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до 0,50 га</w:t>
            </w:r>
          </w:p>
        </w:tc>
        <w:tc>
          <w:tcPr>
            <w:tcW w:w="1569"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от 3 м.</w:t>
            </w:r>
          </w:p>
        </w:tc>
        <w:tc>
          <w:tcPr>
            <w:tcW w:w="133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до 3 этажей</w:t>
            </w:r>
          </w:p>
        </w:tc>
        <w:tc>
          <w:tcPr>
            <w:tcW w:w="160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51299E" w:rsidRDefault="0051299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51299E" w:rsidRDefault="0051299E">
      <w:pPr>
        <w:spacing w:line="240" w:lineRule="auto"/>
        <w:ind w:left="117"/>
        <w:rPr>
          <w:rFonts w:ascii="Times New Roman" w:eastAsia="Times New Roman" w:hAnsi="Times New Roman" w:cs="Times New Roman"/>
          <w:lang w:eastAsia="ru-RU"/>
        </w:rPr>
      </w:pP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51299E" w:rsidRDefault="0051299E">
      <w:pPr>
        <w:spacing w:line="240" w:lineRule="auto"/>
        <w:jc w:val="both"/>
        <w:outlineLvl w:val="3"/>
        <w:rPr>
          <w:rFonts w:ascii="Times New Roman" w:eastAsia="Times New Roman" w:hAnsi="Times New Roman" w:cs="Times New Roman"/>
          <w:sz w:val="24"/>
          <w:szCs w:val="24"/>
          <w:lang w:eastAsia="ru-RU"/>
        </w:rPr>
      </w:pP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1299E" w:rsidRDefault="0051299E">
      <w:pPr>
        <w:spacing w:line="240" w:lineRule="auto"/>
        <w:jc w:val="both"/>
        <w:outlineLvl w:val="3"/>
        <w:rPr>
          <w:rFonts w:ascii="Times New Roman" w:eastAsia="Times New Roman" w:hAnsi="Times New Roman" w:cs="Times New Roman"/>
          <w:sz w:val="24"/>
          <w:szCs w:val="24"/>
          <w:lang w:eastAsia="ru-RU"/>
        </w:rPr>
      </w:pP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51299E" w:rsidRDefault="0051299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51299E" w:rsidRDefault="0051299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72792C" w:rsidRPr="0072792C" w:rsidTr="00032D4C">
        <w:trPr>
          <w:trHeight w:val="840"/>
        </w:trPr>
        <w:tc>
          <w:tcPr>
            <w:tcW w:w="10082" w:type="dxa"/>
            <w:gridSpan w:val="3"/>
            <w:vAlign w:val="center"/>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72792C" w:rsidRPr="0072792C" w:rsidTr="00032D4C">
        <w:tc>
          <w:tcPr>
            <w:tcW w:w="698" w:type="dxa"/>
            <w:hideMark/>
          </w:tcPr>
          <w:p w:rsidR="0072792C" w:rsidRPr="0072792C" w:rsidRDefault="0072792C" w:rsidP="0072792C">
            <w:pPr>
              <w:spacing w:line="276" w:lineRule="auto"/>
              <w:jc w:val="both"/>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2.1</w:t>
            </w:r>
          </w:p>
        </w:tc>
        <w:tc>
          <w:tcPr>
            <w:tcW w:w="5954"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1000 кв.м.</w:t>
            </w:r>
          </w:p>
        </w:tc>
      </w:tr>
      <w:tr w:rsidR="0072792C" w:rsidRPr="0072792C" w:rsidTr="00032D4C">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2.2.</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p>
        </w:tc>
      </w:tr>
      <w:tr w:rsidR="0072792C" w:rsidRPr="0072792C" w:rsidTr="00032D4C">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2.3</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p>
        </w:tc>
      </w:tr>
      <w:tr w:rsidR="0072792C" w:rsidRPr="0072792C" w:rsidTr="00032D4C">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2.1.1</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p>
        </w:tc>
      </w:tr>
      <w:tr w:rsidR="0072792C" w:rsidRPr="0072792C" w:rsidTr="00032D4C">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2.5</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5000 кв.м.</w:t>
            </w:r>
          </w:p>
        </w:tc>
      </w:tr>
      <w:tr w:rsidR="0072792C" w:rsidRPr="0072792C" w:rsidTr="00032D4C">
        <w:trPr>
          <w:trHeight w:val="264"/>
        </w:trPr>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2.6</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p>
        </w:tc>
      </w:tr>
      <w:tr w:rsidR="0072792C" w:rsidRPr="0072792C" w:rsidTr="00032D4C">
        <w:trPr>
          <w:trHeight w:val="264"/>
        </w:trPr>
        <w:tc>
          <w:tcPr>
            <w:tcW w:w="698" w:type="dxa"/>
            <w:hideMark/>
          </w:tcPr>
          <w:p w:rsidR="0072792C" w:rsidRPr="0072792C" w:rsidRDefault="0072792C" w:rsidP="0072792C">
            <w:pPr>
              <w:spacing w:line="276" w:lineRule="auto"/>
              <w:jc w:val="both"/>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2.7.1</w:t>
            </w:r>
          </w:p>
        </w:tc>
        <w:tc>
          <w:tcPr>
            <w:tcW w:w="5954" w:type="dxa"/>
            <w:hideMark/>
          </w:tcPr>
          <w:p w:rsidR="0072792C" w:rsidRPr="0072792C" w:rsidRDefault="0072792C" w:rsidP="0072792C">
            <w:pPr>
              <w:tabs>
                <w:tab w:val="left" w:pos="4770"/>
              </w:tabs>
              <w:spacing w:line="276" w:lineRule="auto"/>
              <w:jc w:val="both"/>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Хранение автотранспорта</w:t>
            </w:r>
          </w:p>
        </w:tc>
        <w:tc>
          <w:tcPr>
            <w:tcW w:w="3430" w:type="dxa"/>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24 кв.м.</w:t>
            </w:r>
          </w:p>
        </w:tc>
      </w:tr>
      <w:tr w:rsidR="0072792C" w:rsidRPr="0072792C" w:rsidTr="00032D4C">
        <w:trPr>
          <w:trHeight w:val="264"/>
        </w:trPr>
        <w:tc>
          <w:tcPr>
            <w:tcW w:w="698" w:type="dxa"/>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2.7.2.</w:t>
            </w:r>
          </w:p>
        </w:tc>
        <w:tc>
          <w:tcPr>
            <w:tcW w:w="5954" w:type="dxa"/>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24 кв.м.</w:t>
            </w:r>
          </w:p>
        </w:tc>
      </w:tr>
      <w:tr w:rsidR="0072792C" w:rsidRPr="0072792C" w:rsidTr="00032D4C">
        <w:trPr>
          <w:trHeight w:val="435"/>
        </w:trPr>
        <w:tc>
          <w:tcPr>
            <w:tcW w:w="10082" w:type="dxa"/>
            <w:gridSpan w:val="3"/>
            <w:vAlign w:val="center"/>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Минимальная ширина участка вдоль фронта улицы (проезда)</w:t>
            </w:r>
          </w:p>
        </w:tc>
      </w:tr>
      <w:tr w:rsidR="0072792C" w:rsidRPr="0072792C" w:rsidTr="00032D4C">
        <w:tc>
          <w:tcPr>
            <w:tcW w:w="698" w:type="dxa"/>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lastRenderedPageBreak/>
              <w:t>2.1</w:t>
            </w:r>
          </w:p>
        </w:tc>
        <w:tc>
          <w:tcPr>
            <w:tcW w:w="5954" w:type="dxa"/>
          </w:tcPr>
          <w:p w:rsidR="0072792C" w:rsidRPr="0072792C" w:rsidRDefault="0072792C" w:rsidP="0072792C">
            <w:pPr>
              <w:spacing w:line="276" w:lineRule="auto"/>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Для индивидуального</w:t>
            </w:r>
            <w:r w:rsidRPr="0072792C">
              <w:rPr>
                <w:rFonts w:ascii="Times New Roman" w:eastAsia="Times New Roman" w:hAnsi="Times New Roman" w:cs="Times New Roman"/>
                <w:i/>
                <w:color w:val="000000"/>
                <w:sz w:val="20"/>
                <w:lang w:eastAsia="ru-RU"/>
              </w:rPr>
              <w:t xml:space="preserve"> </w:t>
            </w:r>
            <w:r w:rsidRPr="0072792C">
              <w:rPr>
                <w:rFonts w:ascii="Times New Roman" w:eastAsia="Times New Roman" w:hAnsi="Times New Roman" w:cs="Times New Roman"/>
                <w:color w:val="000000"/>
                <w:sz w:val="20"/>
                <w:lang w:eastAsia="ru-RU"/>
              </w:rPr>
              <w:t>жилищного строительства</w:t>
            </w:r>
          </w:p>
          <w:p w:rsidR="0072792C" w:rsidRPr="0072792C" w:rsidRDefault="0072792C" w:rsidP="0072792C">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72792C" w:rsidRPr="0072792C" w:rsidRDefault="0072792C" w:rsidP="0072792C">
            <w:pPr>
              <w:spacing w:line="276" w:lineRule="auto"/>
              <w:jc w:val="center"/>
              <w:rPr>
                <w:rFonts w:ascii="Times New Roman" w:eastAsia="Times New Roman" w:hAnsi="Times New Roman" w:cs="Times New Roman"/>
                <w:color w:val="000000"/>
                <w:sz w:val="20"/>
                <w:lang w:eastAsia="ru-RU"/>
              </w:rPr>
            </w:pPr>
            <w:r w:rsidRPr="0072792C">
              <w:rPr>
                <w:rFonts w:ascii="Times New Roman" w:eastAsia="Times New Roman" w:hAnsi="Times New Roman" w:cs="Times New Roman"/>
                <w:color w:val="000000"/>
                <w:sz w:val="20"/>
                <w:lang w:eastAsia="ru-RU"/>
              </w:rPr>
              <w:t>16 метров</w:t>
            </w:r>
          </w:p>
        </w:tc>
      </w:tr>
      <w:tr w:rsidR="0072792C" w:rsidRPr="0072792C" w:rsidTr="00032D4C">
        <w:tc>
          <w:tcPr>
            <w:tcW w:w="698" w:type="dxa"/>
            <w:hideMark/>
          </w:tcPr>
          <w:p w:rsidR="0072792C" w:rsidRPr="0072792C" w:rsidRDefault="0072792C" w:rsidP="0072792C">
            <w:pPr>
              <w:spacing w:line="276" w:lineRule="auto"/>
              <w:jc w:val="center"/>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i/>
                <w:color w:val="000000"/>
                <w:sz w:val="20"/>
                <w:lang w:eastAsia="ru-RU"/>
              </w:rPr>
              <w:t>2.2.</w:t>
            </w:r>
          </w:p>
        </w:tc>
        <w:tc>
          <w:tcPr>
            <w:tcW w:w="5954" w:type="dxa"/>
            <w:hideMark/>
          </w:tcPr>
          <w:p w:rsidR="0072792C" w:rsidRPr="0072792C" w:rsidRDefault="0072792C" w:rsidP="0072792C">
            <w:pPr>
              <w:tabs>
                <w:tab w:val="left" w:pos="4770"/>
              </w:tabs>
              <w:spacing w:line="276" w:lineRule="auto"/>
              <w:rPr>
                <w:rFonts w:ascii="Times New Roman" w:eastAsia="Times New Roman" w:hAnsi="Times New Roman" w:cs="Times New Roman"/>
                <w:i/>
                <w:color w:val="000000"/>
                <w:sz w:val="20"/>
                <w:lang w:eastAsia="ru-RU"/>
              </w:rPr>
            </w:pPr>
            <w:r w:rsidRPr="0072792C">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72792C" w:rsidRPr="0072792C" w:rsidRDefault="0072792C" w:rsidP="0072792C">
            <w:pPr>
              <w:spacing w:line="276" w:lineRule="auto"/>
              <w:rPr>
                <w:rFonts w:ascii="Times New Roman" w:eastAsia="Times New Roman" w:hAnsi="Times New Roman" w:cs="Times New Roman"/>
                <w:color w:val="000000"/>
                <w:sz w:val="20"/>
                <w:lang w:eastAsia="ru-RU"/>
              </w:rPr>
            </w:pPr>
          </w:p>
        </w:tc>
      </w:tr>
    </w:tbl>
    <w:p w:rsidR="0051299E" w:rsidRDefault="0051299E">
      <w:pPr>
        <w:ind w:left="117"/>
        <w:jc w:val="both"/>
        <w:rPr>
          <w:rFonts w:ascii="Times New Roman" w:eastAsia="Times New Roman" w:hAnsi="Times New Roman" w:cs="Times New Roman"/>
          <w:sz w:val="20"/>
          <w:szCs w:val="20"/>
          <w:lang w:eastAsia="ru-RU"/>
        </w:rPr>
      </w:pPr>
    </w:p>
    <w:p w:rsidR="0015308B" w:rsidRDefault="0015308B"/>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1"/>
            <w:bookmarkEnd w:id="49"/>
            <w:r w:rsidRPr="00F04D93">
              <w:rPr>
                <w:rFonts w:ascii="Times New Roman" w:hAnsi="Times New Roman" w:cs="Times New Roman"/>
              </w:rPr>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2"/>
            <w:bookmarkEnd w:id="50"/>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3"/>
            <w:bookmarkEnd w:id="51"/>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4"/>
            <w:bookmarkEnd w:id="52"/>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5"/>
            <w:bookmarkEnd w:id="53"/>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4" w:name="Par206"/>
            <w:bookmarkEnd w:id="54"/>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5" w:name="Par207"/>
            <w:bookmarkEnd w:id="55"/>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6" w:name="Par208"/>
        <w:bookmarkEnd w:id="56"/>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51299E">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Макси-мальный процент застройки в границах земель-ного участка, опреде-ляемый как отноше-</w:t>
            </w:r>
            <w:r>
              <w:rPr>
                <w:rFonts w:ascii="Times New Roman" w:hAnsi="Times New Roman" w:cs="Times New Roman"/>
                <w:sz w:val="18"/>
                <w:szCs w:val="18"/>
              </w:rPr>
              <w:lastRenderedPageBreak/>
              <w:t>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 xml:space="preserve">Мини-мальные отступы от границ земель-ного участка в целях опреде-ления мест допусти-мого </w:t>
            </w:r>
            <w:r>
              <w:rPr>
                <w:rFonts w:ascii="Times New Roman" w:hAnsi="Times New Roman" w:cs="Times New Roman"/>
                <w:sz w:val="18"/>
                <w:szCs w:val="18"/>
              </w:rPr>
              <w:lastRenderedPageBreak/>
              <w:t>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51299E">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51299E">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7" w:name="OKS"/>
            <w:r w:rsidRPr="00ED58BB">
              <w:rPr>
                <w:rFonts w:ascii="Times New Roman" w:eastAsia="Times New Roman" w:hAnsi="Times New Roman" w:cs="Times New Roman"/>
                <w:sz w:val="24"/>
                <w:szCs w:val="24"/>
              </w:rPr>
              <w:t>отсутствуют</w:t>
            </w:r>
            <w:bookmarkEnd w:id="57"/>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51299E" w:rsidRPr="00987CE1" w:rsidTr="0051299E">
              <w:tc>
                <w:tcPr>
                  <w:tcW w:w="284" w:type="dxa"/>
                </w:tcPr>
                <w:p w:rsidR="0051299E" w:rsidRPr="00987CE1" w:rsidRDefault="0051299E" w:rsidP="0051299E">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51299E" w:rsidRPr="00987CE1" w:rsidRDefault="0051299E" w:rsidP="005129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51299E" w:rsidRPr="00987CE1" w:rsidRDefault="0051299E" w:rsidP="0051299E">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51299E" w:rsidRPr="00987CE1" w:rsidRDefault="0051299E" w:rsidP="005129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51299E" w:rsidRPr="00987CE1" w:rsidRDefault="0051299E" w:rsidP="0051299E">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51299E" w:rsidRPr="00987CE1" w:rsidTr="0051299E">
              <w:tc>
                <w:tcPr>
                  <w:tcW w:w="284" w:type="dxa"/>
                </w:tcPr>
                <w:p w:rsidR="0051299E" w:rsidRPr="00987CE1" w:rsidRDefault="0051299E" w:rsidP="0051299E">
                  <w:pPr>
                    <w:rPr>
                      <w:rFonts w:ascii="Times New Roman" w:eastAsia="Times New Roman" w:hAnsi="Times New Roman" w:cs="Times New Roman"/>
                      <w:sz w:val="18"/>
                      <w:szCs w:val="18"/>
                      <w:lang w:val="en-US"/>
                    </w:rPr>
                  </w:pPr>
                </w:p>
              </w:tc>
              <w:tc>
                <w:tcPr>
                  <w:tcW w:w="2127" w:type="dxa"/>
                  <w:tcBorders>
                    <w:top w:val="single" w:sz="4" w:space="0" w:color="auto"/>
                  </w:tcBorders>
                </w:tcPr>
                <w:p w:rsidR="0051299E" w:rsidRPr="008B0D80" w:rsidRDefault="0051299E" w:rsidP="0051299E">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51299E" w:rsidRPr="008B0D80" w:rsidRDefault="0051299E" w:rsidP="0051299E">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51299E" w:rsidRPr="008B0D80" w:rsidRDefault="0051299E" w:rsidP="0051299E">
                  <w:pPr>
                    <w:rPr>
                      <w:rFonts w:ascii="Times New Roman" w:eastAsia="Times New Roman" w:hAnsi="Times New Roman" w:cs="Times New Roman"/>
                      <w:sz w:val="18"/>
                      <w:szCs w:val="18"/>
                    </w:rPr>
                  </w:pPr>
                </w:p>
              </w:tc>
              <w:tc>
                <w:tcPr>
                  <w:tcW w:w="8080" w:type="dxa"/>
                  <w:gridSpan w:val="2"/>
                  <w:tcBorders>
                    <w:top w:val="single" w:sz="4" w:space="0" w:color="auto"/>
                  </w:tcBorders>
                </w:tcPr>
                <w:p w:rsidR="0051299E" w:rsidRDefault="0051299E" w:rsidP="0051299E">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51299E" w:rsidRPr="00987CE1" w:rsidRDefault="0051299E" w:rsidP="0051299E">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51299E" w:rsidRPr="008B0D80" w:rsidRDefault="0051299E" w:rsidP="0051299E">
                  <w:pPr>
                    <w:jc w:val="center"/>
                    <w:rPr>
                      <w:rFonts w:ascii="Times New Roman" w:eastAsia="Times New Roman" w:hAnsi="Times New Roman" w:cs="Times New Roman"/>
                      <w:sz w:val="18"/>
                      <w:szCs w:val="18"/>
                    </w:rPr>
                  </w:pPr>
                </w:p>
              </w:tc>
            </w:tr>
            <w:tr w:rsidR="0051299E" w:rsidRPr="00987CE1" w:rsidTr="0051299E">
              <w:tc>
                <w:tcPr>
                  <w:tcW w:w="5246" w:type="dxa"/>
                  <w:gridSpan w:val="4"/>
                </w:tcPr>
                <w:p w:rsidR="0051299E" w:rsidRDefault="0051299E" w:rsidP="0051299E">
                  <w:pPr>
                    <w:jc w:val="right"/>
                    <w:rPr>
                      <w:rFonts w:ascii="Times New Roman" w:eastAsia="Times New Roman" w:hAnsi="Times New Roman" w:cs="Times New Roman"/>
                      <w:sz w:val="24"/>
                      <w:szCs w:val="24"/>
                    </w:rPr>
                  </w:pPr>
                </w:p>
                <w:p w:rsidR="0051299E" w:rsidRDefault="0051299E" w:rsidP="0051299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51299E" w:rsidRPr="00987CE1" w:rsidRDefault="0051299E" w:rsidP="0051299E">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51299E" w:rsidRPr="00987CE1" w:rsidRDefault="0051299E" w:rsidP="005129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51299E" w:rsidRPr="008B0D80" w:rsidRDefault="0051299E" w:rsidP="0051299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15308B" w:rsidRDefault="0015308B"/>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3"/>
            <w:bookmarkEnd w:id="58"/>
            <w:r w:rsidRPr="00F04D93">
              <w:rPr>
                <w:rFonts w:ascii="Times New Roman" w:hAnsi="Times New Roman" w:cs="Times New Roman"/>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4"/>
            <w:bookmarkEnd w:id="59"/>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5"/>
            <w:bookmarkEnd w:id="60"/>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6"/>
            <w:bookmarkEnd w:id="61"/>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7"/>
            <w:bookmarkEnd w:id="62"/>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68"/>
            <w:bookmarkEnd w:id="63"/>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69"/>
            <w:bookmarkEnd w:id="64"/>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5" w:name="Par270"/>
            <w:bookmarkEnd w:id="65"/>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6" w:name="Par271"/>
            <w:bookmarkEnd w:id="66"/>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15308B" w:rsidRPr="0051299E" w:rsidRDefault="0051299E">
      <w:pPr>
        <w:autoSpaceDE w:val="0"/>
        <w:autoSpaceDN w:val="0"/>
        <w:adjustRightInd w:val="0"/>
        <w:jc w:val="both"/>
        <w:rPr>
          <w:rFonts w:ascii="Times New Roman" w:hAnsi="Times New Roman" w:cs="Times New Roman"/>
          <w:sz w:val="24"/>
          <w:szCs w:val="24"/>
        </w:rPr>
      </w:pPr>
      <w:r w:rsidRPr="0051299E">
        <w:rPr>
          <w:rFonts w:ascii="Times New Roman" w:hAnsi="Times New Roman" w:cs="Times New Roman"/>
          <w:sz w:val="24"/>
          <w:szCs w:val="24"/>
        </w:rPr>
        <w:t>Земельный участок с кадастровым номером 66:01:5301001:1837 расположен в границах зон с особыми условиями использования территорий:</w:t>
      </w:r>
    </w:p>
    <w:p w:rsidR="0015308B" w:rsidRDefault="0051299E">
      <w:pPr>
        <w:autoSpaceDE w:val="0"/>
        <w:autoSpaceDN w:val="0"/>
        <w:adjustRightInd w:val="0"/>
        <w:jc w:val="both"/>
        <w:rPr>
          <w:rFonts w:ascii="Times New Roman" w:hAnsi="Times New Roman" w:cs="Times New Roman"/>
          <w:sz w:val="24"/>
          <w:szCs w:val="24"/>
          <w:lang w:val="en-US"/>
        </w:rPr>
      </w:pPr>
      <w:r w:rsidRPr="0051299E">
        <w:rPr>
          <w:rFonts w:ascii="Times New Roman" w:hAnsi="Times New Roman" w:cs="Times New Roman"/>
          <w:sz w:val="24"/>
          <w:szCs w:val="24"/>
        </w:rPr>
        <w:t xml:space="preserve">- Санитарный разрыв (санитарная полоса отчуждения) (813.52 кв. м.) </w:t>
      </w:r>
      <w:r>
        <w:rPr>
          <w:rFonts w:ascii="Times New Roman" w:hAnsi="Times New Roman" w:cs="Times New Roman"/>
          <w:sz w:val="24"/>
          <w:szCs w:val="24"/>
          <w:lang w:val="en-US"/>
        </w:rPr>
        <w:t>(66:01-6.996).</w:t>
      </w:r>
    </w:p>
    <w:p w:rsidR="0015308B" w:rsidRPr="00597DD8" w:rsidRDefault="0051299E">
      <w:pPr>
        <w:rPr>
          <w:rFonts w:ascii="Times New Roman" w:hAnsi="Times New Roman" w:cs="Times New Roman"/>
          <w:sz w:val="24"/>
          <w:szCs w:val="24"/>
        </w:rPr>
      </w:pPr>
      <w:r w:rsidRPr="00597DD8">
        <w:rPr>
          <w:rFonts w:ascii="Times New Roman" w:hAnsi="Times New Roman" w:cs="Times New Roman"/>
          <w:sz w:val="24"/>
          <w:szCs w:val="24"/>
        </w:rPr>
        <w:t>Санитарный разрыв (санитарная полоса отчуждения)</w:t>
      </w:r>
    </w:p>
    <w:p w:rsidR="0015308B" w:rsidRPr="00597DD8" w:rsidRDefault="0015308B">
      <w:pPr>
        <w:rPr>
          <w:rFonts w:ascii="Times New Roman" w:hAnsi="Times New Roman" w:cs="Times New Roman"/>
          <w:sz w:val="24"/>
          <w:szCs w:val="24"/>
        </w:rPr>
      </w:pP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51299E">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51299E">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51299E">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51299E">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51299E">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51299E">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51299E">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942CE6"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72792C" w:rsidRDefault="0072792C" w:rsidP="0072792C">
      <w:pPr>
        <w:contextualSpacing/>
        <w:jc w:val="both"/>
        <w:rPr>
          <w:rFonts w:ascii="Times New Roman" w:eastAsia="Times New Roman" w:hAnsi="Times New Roman" w:cs="Times New Roman"/>
          <w:sz w:val="24"/>
          <w:szCs w:val="24"/>
        </w:rPr>
      </w:pPr>
      <w:r w:rsidRPr="0072792C">
        <w:rPr>
          <w:rFonts w:ascii="Times New Roman" w:eastAsia="Times New Roman" w:hAnsi="Times New Roman" w:cs="Times New Roman"/>
          <w:sz w:val="24"/>
          <w:szCs w:val="24"/>
        </w:rPr>
        <w:t xml:space="preserve">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w:t>
      </w:r>
      <w:r>
        <w:rPr>
          <w:rFonts w:ascii="Times New Roman" w:eastAsia="Times New Roman" w:hAnsi="Times New Roman" w:cs="Times New Roman"/>
          <w:sz w:val="24"/>
          <w:szCs w:val="24"/>
        </w:rPr>
        <w:t>17</w:t>
      </w:r>
      <w:r w:rsidRPr="0072792C">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Pr="0072792C">
        <w:rPr>
          <w:rFonts w:ascii="Times New Roman" w:eastAsia="Times New Roman" w:hAnsi="Times New Roman" w:cs="Times New Roman"/>
          <w:sz w:val="24"/>
          <w:szCs w:val="24"/>
        </w:rPr>
        <w:t xml:space="preserve">.2025 № </w:t>
      </w:r>
      <w:r>
        <w:rPr>
          <w:rFonts w:ascii="Times New Roman" w:eastAsia="Times New Roman" w:hAnsi="Times New Roman" w:cs="Times New Roman"/>
          <w:sz w:val="24"/>
          <w:szCs w:val="24"/>
        </w:rPr>
        <w:t>650</w:t>
      </w:r>
      <w:r w:rsidRPr="0072792C">
        <w:rPr>
          <w:rFonts w:ascii="Times New Roman" w:eastAsia="Times New Roman" w:hAnsi="Times New Roman" w:cs="Times New Roman"/>
          <w:sz w:val="24"/>
          <w:szCs w:val="24"/>
        </w:rPr>
        <w:t>)</w:t>
      </w:r>
    </w:p>
    <w:p w:rsidR="0072792C" w:rsidRPr="0072792C" w:rsidRDefault="0072792C" w:rsidP="0072792C">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Техническая возможность по подключению к сетям газораспределения </w:t>
      </w:r>
      <w:r w:rsidR="008B727D">
        <w:rPr>
          <w:rFonts w:ascii="Times New Roman" w:eastAsia="Times New Roman" w:hAnsi="Times New Roman" w:cs="Times New Roman"/>
          <w:sz w:val="24"/>
          <w:szCs w:val="24"/>
        </w:rPr>
        <w:t>имеется.</w:t>
      </w:r>
      <w:r>
        <w:rPr>
          <w:rFonts w:ascii="Times New Roman" w:eastAsia="Times New Roman" w:hAnsi="Times New Roman" w:cs="Times New Roman"/>
          <w:sz w:val="24"/>
          <w:szCs w:val="24"/>
        </w:rPr>
        <w:t xml:space="preserve"> Предполагаемая точка врезки в существующий газопровод низкого давления, строительство сети газораспределения низкого давления, строительство газопровода ввода (информационное письмо ГУП СО «Газовые сети» от 15.09.2025 № 11-03)</w:t>
      </w:r>
    </w:p>
    <w:p w:rsidR="00032D4C" w:rsidRDefault="00032D4C" w:rsidP="00032D4C">
      <w:pPr>
        <w:contextualSpacing/>
        <w:jc w:val="both"/>
        <w:rPr>
          <w:rFonts w:ascii="Times New Roman" w:eastAsia="Times New Roman" w:hAnsi="Times New Roman" w:cs="Times New Roman"/>
          <w:sz w:val="24"/>
          <w:szCs w:val="24"/>
        </w:rPr>
      </w:pPr>
      <w:r w:rsidRPr="0072792C">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w:t>
      </w:r>
      <w:r>
        <w:rPr>
          <w:rFonts w:ascii="Times New Roman" w:eastAsia="Times New Roman" w:hAnsi="Times New Roman" w:cs="Times New Roman"/>
          <w:sz w:val="24"/>
          <w:szCs w:val="24"/>
        </w:rPr>
        <w:t>го обеспечения (централизованной с</w:t>
      </w:r>
      <w:r w:rsidR="00170D35">
        <w:rPr>
          <w:rFonts w:ascii="Times New Roman" w:eastAsia="Times New Roman" w:hAnsi="Times New Roman" w:cs="Times New Roman"/>
          <w:sz w:val="24"/>
          <w:szCs w:val="24"/>
        </w:rPr>
        <w:t>истеме теплоснаб</w:t>
      </w:r>
      <w:r>
        <w:rPr>
          <w:rFonts w:ascii="Times New Roman" w:eastAsia="Times New Roman" w:hAnsi="Times New Roman" w:cs="Times New Roman"/>
          <w:sz w:val="24"/>
          <w:szCs w:val="24"/>
        </w:rPr>
        <w:t>жения</w:t>
      </w:r>
      <w:r w:rsidRPr="0072792C">
        <w:rPr>
          <w:rFonts w:ascii="Times New Roman" w:eastAsia="Times New Roman" w:hAnsi="Times New Roman" w:cs="Times New Roman"/>
          <w:sz w:val="24"/>
          <w:szCs w:val="24"/>
        </w:rPr>
        <w:t>) отсутствует (информационное письмо МУП «</w:t>
      </w:r>
      <w:r w:rsidR="00170D35">
        <w:rPr>
          <w:rFonts w:ascii="Times New Roman" w:eastAsia="Times New Roman" w:hAnsi="Times New Roman" w:cs="Times New Roman"/>
          <w:sz w:val="24"/>
          <w:szCs w:val="24"/>
        </w:rPr>
        <w:t>Тепловые сети МО Алапаевское</w:t>
      </w:r>
      <w:r w:rsidRPr="0072792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17</w:t>
      </w:r>
      <w:r w:rsidRPr="0072792C">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Pr="0072792C">
        <w:rPr>
          <w:rFonts w:ascii="Times New Roman" w:eastAsia="Times New Roman" w:hAnsi="Times New Roman" w:cs="Times New Roman"/>
          <w:sz w:val="24"/>
          <w:szCs w:val="24"/>
        </w:rPr>
        <w:t xml:space="preserve">.2025 № </w:t>
      </w:r>
      <w:r w:rsidR="00170D35">
        <w:rPr>
          <w:rFonts w:ascii="Times New Roman" w:eastAsia="Times New Roman" w:hAnsi="Times New Roman" w:cs="Times New Roman"/>
          <w:sz w:val="24"/>
          <w:szCs w:val="24"/>
        </w:rPr>
        <w:t>1709/01</w:t>
      </w:r>
      <w:r w:rsidRPr="0072792C">
        <w:rPr>
          <w:rFonts w:ascii="Times New Roman" w:eastAsia="Times New Roman" w:hAnsi="Times New Roman" w:cs="Times New Roman"/>
          <w:sz w:val="24"/>
          <w:szCs w:val="24"/>
        </w:rPr>
        <w:t>)</w:t>
      </w:r>
    </w:p>
    <w:p w:rsidR="00942CE6" w:rsidRDefault="00942CE6" w:rsidP="00942CE6">
      <w:pPr>
        <w:pStyle w:val="a5"/>
        <w:ind w:left="0"/>
        <w:jc w:val="both"/>
        <w:rPr>
          <w:rFonts w:ascii="Times New Roman" w:eastAsia="Times New Roman" w:hAnsi="Times New Roman" w:cs="Times New Roman"/>
          <w:sz w:val="24"/>
          <w:szCs w:val="24"/>
        </w:rPr>
      </w:pPr>
    </w:p>
    <w:p w:rsidR="0072792C" w:rsidRDefault="0072792C" w:rsidP="00942CE6">
      <w:pPr>
        <w:pStyle w:val="a5"/>
        <w:ind w:left="0"/>
        <w:jc w:val="both"/>
        <w:rPr>
          <w:rFonts w:ascii="Times New Roman" w:eastAsia="Times New Roman" w:hAnsi="Times New Roman" w:cs="Times New Roman"/>
          <w:sz w:val="24"/>
          <w:szCs w:val="24"/>
        </w:rPr>
      </w:pPr>
    </w:p>
    <w:p w:rsidR="0072792C" w:rsidRPr="00942CE6" w:rsidRDefault="0072792C"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lastRenderedPageBreak/>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t>Информация о требованиях к архитектурно-градостроительному облику объекта капитального строительства:</w:t>
      </w:r>
    </w:p>
    <w:p w:rsidR="0015308B" w:rsidRPr="0051299E" w:rsidRDefault="0015308B">
      <w:pPr>
        <w:rPr>
          <w:rFonts w:ascii="Times New Roman" w:hAnsi="Times New Roman" w:cs="Times New Roman"/>
          <w:sz w:val="24"/>
          <w:szCs w:val="24"/>
        </w:rPr>
      </w:pPr>
    </w:p>
    <w:p w:rsidR="0051299E" w:rsidRDefault="0051299E" w:rsidP="0051299E">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51299E" w:rsidRPr="008D6874" w:rsidTr="0051299E">
        <w:tc>
          <w:tcPr>
            <w:tcW w:w="534" w:type="dxa"/>
            <w:vAlign w:val="center"/>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51299E" w:rsidRPr="008D6874" w:rsidTr="0051299E">
        <w:tc>
          <w:tcPr>
            <w:tcW w:w="534" w:type="dxa"/>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51299E" w:rsidRPr="008D6874" w:rsidRDefault="0051299E" w:rsidP="0051299E">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51299E" w:rsidRPr="008D6874" w:rsidTr="0051299E">
        <w:tc>
          <w:tcPr>
            <w:tcW w:w="534" w:type="dxa"/>
          </w:tcPr>
          <w:p w:rsidR="0051299E" w:rsidRPr="008D6874" w:rsidRDefault="0051299E" w:rsidP="0051299E">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51299E" w:rsidRPr="008D6874" w:rsidRDefault="0051299E" w:rsidP="0051299E">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51299E" w:rsidRPr="008D6874" w:rsidRDefault="0051299E" w:rsidP="0051299E">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51299E">
      <w:pPr>
        <w:pStyle w:val="a5"/>
        <w:ind w:left="0"/>
        <w:jc w:val="both"/>
        <w:rPr>
          <w:rFonts w:ascii="Liberation Serif" w:eastAsia="Times New Roman" w:hAnsi="Liberation Serif" w:cs="Times New Roman"/>
          <w:b/>
          <w:sz w:val="24"/>
          <w:szCs w:val="24"/>
        </w:rPr>
      </w:pPr>
    </w:p>
    <w:p w:rsidR="0015308B" w:rsidRDefault="0015308B">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7" w:name="AGO"/>
      <w:bookmarkEnd w:id="67"/>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51299E">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51299E">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51299E">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477084,10</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1599869,83</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477102,22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1599901,55</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477064,94</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1599904,21</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477064,04</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1599885,14</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477084,10</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51299E">
            <w:pPr>
              <w:jc w:val="center"/>
              <w:rPr>
                <w:rFonts w:ascii="Times New Roman" w:hAnsi="Times New Roman" w:cs="Times New Roman"/>
                <w:sz w:val="24"/>
                <w:szCs w:val="24"/>
              </w:rPr>
            </w:pPr>
            <w:r w:rsidRPr="0016051B">
              <w:rPr>
                <w:rFonts w:ascii="Times New Roman" w:hAnsi="Times New Roman" w:cs="Times New Roman"/>
                <w:sz w:val="24"/>
                <w:szCs w:val="24"/>
              </w:rPr>
              <w:t>1599869,83</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51299E" w:rsidTr="0051299E">
              <w:tc>
                <w:tcPr>
                  <w:tcW w:w="3485" w:type="dxa"/>
                  <w:vMerge w:val="restart"/>
                </w:tcPr>
                <w:p w:rsidR="0051299E" w:rsidRPr="005811B2" w:rsidRDefault="0051299E" w:rsidP="0051299E">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51299E" w:rsidRPr="005811B2" w:rsidRDefault="0051299E" w:rsidP="0051299E">
                  <w:pPr>
                    <w:jc w:val="center"/>
                    <w:rPr>
                      <w:rFonts w:ascii="Times New Roman" w:hAnsi="Times New Roman" w:cs="Times New Roman"/>
                    </w:rPr>
                  </w:pPr>
                  <w:r>
                    <w:rPr>
                      <w:rFonts w:ascii="Times New Roman" w:hAnsi="Times New Roman" w:cs="Times New Roman"/>
                    </w:rPr>
                    <w:t>Координаты характерных точек м.</w:t>
                  </w:r>
                </w:p>
              </w:tc>
            </w:tr>
            <w:tr w:rsidR="0051299E" w:rsidTr="0051299E">
              <w:tc>
                <w:tcPr>
                  <w:tcW w:w="3485" w:type="dxa"/>
                  <w:vMerge/>
                </w:tcPr>
                <w:p w:rsidR="0051299E" w:rsidRDefault="0051299E" w:rsidP="0051299E">
                  <w:pPr>
                    <w:jc w:val="center"/>
                    <w:rPr>
                      <w:rFonts w:ascii="Times New Roman" w:hAnsi="Times New Roman" w:cs="Times New Roman"/>
                      <w:lang w:val="en-US"/>
                    </w:rPr>
                  </w:pPr>
                </w:p>
              </w:tc>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Y</w:t>
                  </w:r>
                </w:p>
              </w:tc>
            </w:tr>
            <w:tr w:rsidR="0051299E" w:rsidTr="0051299E">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r>
          </w:tbl>
          <w:p w:rsidR="0015308B" w:rsidRDefault="0015308B"/>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51299E">
        <w:tc>
          <w:tcPr>
            <w:tcW w:w="9345" w:type="dxa"/>
          </w:tcPr>
          <w:tbl>
            <w:tblPr>
              <w:tblStyle w:val="a3"/>
              <w:tblW w:w="0" w:type="dxa"/>
              <w:tblLook w:val="04A0" w:firstRow="1" w:lastRow="0" w:firstColumn="1" w:lastColumn="0" w:noHBand="0" w:noVBand="1"/>
              <w:tblCaption w:val="ProtectiveZoneCoordsTable"/>
            </w:tblPr>
            <w:tblGrid>
              <w:gridCol w:w="2333"/>
              <w:gridCol w:w="2654"/>
              <w:gridCol w:w="2436"/>
              <w:gridCol w:w="2403"/>
            </w:tblGrid>
            <w:tr w:rsidR="0051299E" w:rsidTr="0051299E">
              <w:tc>
                <w:tcPr>
                  <w:tcW w:w="2438" w:type="dxa"/>
                  <w:vMerge w:val="restart"/>
                </w:tcPr>
                <w:p w:rsidR="0051299E" w:rsidRPr="00C61B41" w:rsidRDefault="0051299E" w:rsidP="0051299E">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51299E" w:rsidRPr="00C61B41" w:rsidRDefault="0051299E" w:rsidP="0051299E">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51299E" w:rsidTr="0051299E">
              <w:tc>
                <w:tcPr>
                  <w:tcW w:w="2438" w:type="dxa"/>
                  <w:vMerge/>
                </w:tcPr>
                <w:p w:rsidR="0051299E" w:rsidRPr="008B503A" w:rsidRDefault="0051299E" w:rsidP="0051299E">
                  <w:pPr>
                    <w:jc w:val="center"/>
                    <w:rPr>
                      <w:rFonts w:ascii="Times New Roman" w:hAnsi="Times New Roman" w:cs="Times New Roman"/>
                    </w:rPr>
                  </w:pP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51299E" w:rsidRDefault="0051299E" w:rsidP="0051299E">
                  <w:pPr>
                    <w:jc w:val="center"/>
                    <w:rPr>
                      <w:rFonts w:ascii="Times New Roman" w:hAnsi="Times New Roman" w:cs="Times New Roman"/>
                      <w:lang w:val="en-US"/>
                    </w:rPr>
                  </w:pPr>
                  <w:r>
                    <w:rPr>
                      <w:rFonts w:ascii="Times New Roman" w:hAnsi="Times New Roman" w:cs="Times New Roman"/>
                      <w:lang w:val="en-US"/>
                    </w:rPr>
                    <w:t xml:space="preserve">(номер) </w:t>
                  </w:r>
                </w:p>
                <w:p w:rsidR="0051299E" w:rsidRDefault="0051299E" w:rsidP="0051299E">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51299E" w:rsidRPr="00C61B41" w:rsidRDefault="0051299E" w:rsidP="0051299E">
                  <w:pPr>
                    <w:jc w:val="center"/>
                    <w:rPr>
                      <w:rFonts w:ascii="Times New Roman" w:hAnsi="Times New Roman" w:cs="Times New Roman"/>
                      <w:lang w:val="en-US"/>
                    </w:rPr>
                  </w:pPr>
                  <w:r>
                    <w:rPr>
                      <w:rFonts w:ascii="Times New Roman" w:hAnsi="Times New Roman" w:cs="Times New Roman"/>
                    </w:rPr>
                    <w:t>X</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Y</w:t>
                  </w:r>
                </w:p>
              </w:tc>
            </w:tr>
            <w:tr w:rsidR="0051299E" w:rsidTr="0051299E">
              <w:tc>
                <w:tcPr>
                  <w:tcW w:w="243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w:t>
                  </w:r>
                </w:p>
              </w:tc>
            </w:tr>
            <w:tr w:rsidR="0051299E" w:rsidTr="0051299E">
              <w:tc>
                <w:tcPr>
                  <w:tcW w:w="2438" w:type="dxa"/>
                  <w:vMerge w:val="restart"/>
                </w:tcPr>
                <w:p w:rsidR="0051299E" w:rsidRPr="0051299E" w:rsidRDefault="0051299E" w:rsidP="0051299E">
                  <w:pPr>
                    <w:jc w:val="center"/>
                    <w:rPr>
                      <w:rFonts w:ascii="Times New Roman" w:hAnsi="Times New Roman" w:cs="Times New Roman"/>
                    </w:rPr>
                  </w:pPr>
                  <w:r w:rsidRPr="0051299E">
                    <w:rPr>
                      <w:rFonts w:ascii="Times New Roman" w:hAnsi="Times New Roman" w:cs="Times New Roman"/>
                    </w:rPr>
                    <w:t>Санитарный разрыв (санитарная полоса отчуждения)</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477102,22</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1599901,55</w:t>
                  </w:r>
                </w:p>
              </w:tc>
            </w:tr>
            <w:tr w:rsidR="0051299E" w:rsidTr="0051299E">
              <w:tc>
                <w:tcPr>
                  <w:tcW w:w="2438" w:type="dxa"/>
                  <w:vMerge/>
                </w:tcPr>
                <w:p w:rsidR="0051299E" w:rsidRPr="0051299E" w:rsidRDefault="0051299E" w:rsidP="0051299E">
                  <w:pPr>
                    <w:jc w:val="center"/>
                    <w:rPr>
                      <w:rFonts w:ascii="Times New Roman" w:hAnsi="Times New Roman" w:cs="Times New Roman"/>
                    </w:rPr>
                  </w:pPr>
                  <w:r w:rsidRPr="0051299E">
                    <w:rPr>
                      <w:rFonts w:ascii="Times New Roman" w:hAnsi="Times New Roman" w:cs="Times New Roman"/>
                    </w:rPr>
                    <w:t>Санитарный разрыв (санитарная полоса отчуждения)</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477064,94</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1599904,21</w:t>
                  </w:r>
                </w:p>
              </w:tc>
            </w:tr>
            <w:tr w:rsidR="0051299E" w:rsidTr="0051299E">
              <w:tc>
                <w:tcPr>
                  <w:tcW w:w="2438" w:type="dxa"/>
                  <w:vMerge/>
                </w:tcPr>
                <w:p w:rsidR="0051299E" w:rsidRPr="0051299E" w:rsidRDefault="0051299E" w:rsidP="0051299E">
                  <w:pPr>
                    <w:jc w:val="center"/>
                    <w:rPr>
                      <w:rFonts w:ascii="Times New Roman" w:hAnsi="Times New Roman" w:cs="Times New Roman"/>
                    </w:rPr>
                  </w:pPr>
                  <w:r w:rsidRPr="0051299E">
                    <w:rPr>
                      <w:rFonts w:ascii="Times New Roman" w:hAnsi="Times New Roman" w:cs="Times New Roman"/>
                    </w:rPr>
                    <w:t>Санитарный разрыв (санитарная полоса отчуждения)</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3</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477064,04</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1599885,14</w:t>
                  </w:r>
                </w:p>
              </w:tc>
            </w:tr>
            <w:tr w:rsidR="0051299E" w:rsidTr="0051299E">
              <w:tc>
                <w:tcPr>
                  <w:tcW w:w="2438" w:type="dxa"/>
                  <w:vMerge/>
                </w:tcPr>
                <w:p w:rsidR="0051299E" w:rsidRPr="0051299E" w:rsidRDefault="0051299E" w:rsidP="0051299E">
                  <w:pPr>
                    <w:jc w:val="center"/>
                    <w:rPr>
                      <w:rFonts w:ascii="Times New Roman" w:hAnsi="Times New Roman" w:cs="Times New Roman"/>
                    </w:rPr>
                  </w:pPr>
                  <w:r w:rsidRPr="0051299E">
                    <w:rPr>
                      <w:rFonts w:ascii="Times New Roman" w:hAnsi="Times New Roman" w:cs="Times New Roman"/>
                    </w:rPr>
                    <w:t>Санитарный разрыв (санитарная полоса отчуждения)</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477084,10</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1599869,83</w:t>
                  </w:r>
                </w:p>
              </w:tc>
            </w:tr>
            <w:tr w:rsidR="0051299E" w:rsidTr="0051299E">
              <w:tc>
                <w:tcPr>
                  <w:tcW w:w="2438" w:type="dxa"/>
                  <w:vMerge/>
                </w:tcPr>
                <w:p w:rsidR="0051299E" w:rsidRPr="0051299E" w:rsidRDefault="0051299E" w:rsidP="0051299E">
                  <w:pPr>
                    <w:jc w:val="center"/>
                    <w:rPr>
                      <w:rFonts w:ascii="Times New Roman" w:hAnsi="Times New Roman" w:cs="Times New Roman"/>
                    </w:rPr>
                  </w:pPr>
                  <w:r w:rsidRPr="0051299E">
                    <w:rPr>
                      <w:rFonts w:ascii="Times New Roman" w:hAnsi="Times New Roman" w:cs="Times New Roman"/>
                    </w:rPr>
                    <w:t>Санитарный разрыв (санитарная полоса отчуждения)</w:t>
                  </w:r>
                </w:p>
              </w:tc>
              <w:tc>
                <w:tcPr>
                  <w:tcW w:w="2829"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477102,22</w:t>
                  </w:r>
                </w:p>
              </w:tc>
              <w:tc>
                <w:tcPr>
                  <w:tcW w:w="2568"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1599901,55</w:t>
                  </w:r>
                </w:p>
              </w:tc>
            </w:tr>
          </w:tbl>
          <w:p w:rsidR="0015308B" w:rsidRDefault="0015308B"/>
        </w:tc>
      </w:tr>
    </w:tbl>
    <w:p w:rsidR="0016051B" w:rsidRDefault="0016051B" w:rsidP="0016051B">
      <w:pPr>
        <w:rPr>
          <w:rFonts w:ascii="Times New Roman" w:hAnsi="Times New Roman" w:cs="Times New Roman"/>
          <w:sz w:val="24"/>
          <w:szCs w:val="24"/>
        </w:rPr>
      </w:pPr>
    </w:p>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51299E">
        <w:tc>
          <w:tcPr>
            <w:tcW w:w="9345" w:type="dxa"/>
          </w:tcPr>
          <w:p w:rsidR="0016051B" w:rsidRPr="00A85698" w:rsidRDefault="00A85698" w:rsidP="0051299E">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15308B" w:rsidRDefault="0015308B"/>
        </w:tc>
      </w:tr>
      <w:tr w:rsidR="0016051B" w:rsidRPr="00CF1E28" w:rsidTr="0051299E">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51299E" w:rsidTr="0051299E">
              <w:tc>
                <w:tcPr>
                  <w:tcW w:w="3485" w:type="dxa"/>
                  <w:vMerge w:val="restart"/>
                </w:tcPr>
                <w:p w:rsidR="0051299E" w:rsidRPr="005811B2" w:rsidRDefault="0051299E" w:rsidP="0051299E">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51299E" w:rsidRPr="005811B2" w:rsidRDefault="0051299E" w:rsidP="0051299E">
                  <w:pPr>
                    <w:jc w:val="center"/>
                    <w:rPr>
                      <w:rFonts w:ascii="Times New Roman" w:hAnsi="Times New Roman" w:cs="Times New Roman"/>
                    </w:rPr>
                  </w:pPr>
                  <w:r>
                    <w:rPr>
                      <w:rFonts w:ascii="Times New Roman" w:hAnsi="Times New Roman" w:cs="Times New Roman"/>
                    </w:rPr>
                    <w:t>Координаты характерных точек м.</w:t>
                  </w:r>
                </w:p>
              </w:tc>
            </w:tr>
            <w:tr w:rsidR="0051299E" w:rsidTr="0051299E">
              <w:tc>
                <w:tcPr>
                  <w:tcW w:w="3485" w:type="dxa"/>
                  <w:vMerge/>
                </w:tcPr>
                <w:p w:rsidR="0051299E" w:rsidRDefault="0051299E" w:rsidP="0051299E">
                  <w:pPr>
                    <w:jc w:val="center"/>
                    <w:rPr>
                      <w:rFonts w:ascii="Times New Roman" w:hAnsi="Times New Roman" w:cs="Times New Roman"/>
                      <w:lang w:val="en-US"/>
                    </w:rPr>
                  </w:pPr>
                </w:p>
              </w:tc>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Y</w:t>
                  </w:r>
                </w:p>
              </w:tc>
            </w:tr>
            <w:tr w:rsidR="0051299E" w:rsidTr="0051299E">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51299E" w:rsidRDefault="0051299E" w:rsidP="0051299E">
                  <w:pPr>
                    <w:jc w:val="center"/>
                    <w:rPr>
                      <w:rFonts w:ascii="Times New Roman" w:hAnsi="Times New Roman" w:cs="Times New Roman"/>
                      <w:lang w:val="en-US"/>
                    </w:rPr>
                  </w:pPr>
                  <w:r>
                    <w:rPr>
                      <w:rFonts w:ascii="Times New Roman" w:hAnsi="Times New Roman" w:cs="Times New Roman"/>
                      <w:lang w:val="en-US"/>
                    </w:rPr>
                    <w:t>-</w:t>
                  </w:r>
                </w:p>
              </w:tc>
            </w:tr>
          </w:tbl>
          <w:p w:rsidR="0015308B" w:rsidRDefault="0015308B"/>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B75" w:rsidRDefault="00DC0B75" w:rsidP="00AF16E5">
      <w:pPr>
        <w:spacing w:line="240" w:lineRule="auto"/>
      </w:pPr>
      <w:r>
        <w:separator/>
      </w:r>
    </w:p>
  </w:endnote>
  <w:endnote w:type="continuationSeparator" w:id="0">
    <w:p w:rsidR="00DC0B75" w:rsidRDefault="00DC0B75"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B75" w:rsidRDefault="00DC0B75" w:rsidP="00AF16E5">
      <w:pPr>
        <w:spacing w:line="240" w:lineRule="auto"/>
      </w:pPr>
      <w:r>
        <w:separator/>
      </w:r>
    </w:p>
  </w:footnote>
  <w:footnote w:type="continuationSeparator" w:id="0">
    <w:p w:rsidR="00DC0B75" w:rsidRDefault="00DC0B75"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B1ACC34A"/>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32D4C"/>
    <w:rsid w:val="00047CC8"/>
    <w:rsid w:val="000513C6"/>
    <w:rsid w:val="000B13EB"/>
    <w:rsid w:val="000E5453"/>
    <w:rsid w:val="000E6D7F"/>
    <w:rsid w:val="00121214"/>
    <w:rsid w:val="0015308B"/>
    <w:rsid w:val="0016051B"/>
    <w:rsid w:val="00170D35"/>
    <w:rsid w:val="00174D33"/>
    <w:rsid w:val="001A4789"/>
    <w:rsid w:val="00201BBB"/>
    <w:rsid w:val="00212F5B"/>
    <w:rsid w:val="002204C9"/>
    <w:rsid w:val="002A4289"/>
    <w:rsid w:val="002B7240"/>
    <w:rsid w:val="003248A2"/>
    <w:rsid w:val="00370043"/>
    <w:rsid w:val="00381F0B"/>
    <w:rsid w:val="003B19EA"/>
    <w:rsid w:val="003B2CBD"/>
    <w:rsid w:val="003E32B5"/>
    <w:rsid w:val="00413FD3"/>
    <w:rsid w:val="0046710D"/>
    <w:rsid w:val="004A31F4"/>
    <w:rsid w:val="004C0E55"/>
    <w:rsid w:val="005116C1"/>
    <w:rsid w:val="0051299E"/>
    <w:rsid w:val="005214D7"/>
    <w:rsid w:val="00525E95"/>
    <w:rsid w:val="00526A9B"/>
    <w:rsid w:val="005459FA"/>
    <w:rsid w:val="0058778C"/>
    <w:rsid w:val="00597DD8"/>
    <w:rsid w:val="005B1F28"/>
    <w:rsid w:val="005D062D"/>
    <w:rsid w:val="005D7E3E"/>
    <w:rsid w:val="005E5D29"/>
    <w:rsid w:val="00644AC3"/>
    <w:rsid w:val="006C1E4B"/>
    <w:rsid w:val="006C22A0"/>
    <w:rsid w:val="006E67F5"/>
    <w:rsid w:val="0072792C"/>
    <w:rsid w:val="00744634"/>
    <w:rsid w:val="00756A8A"/>
    <w:rsid w:val="00775F74"/>
    <w:rsid w:val="007A457A"/>
    <w:rsid w:val="007B53A9"/>
    <w:rsid w:val="007D1AD2"/>
    <w:rsid w:val="00820E15"/>
    <w:rsid w:val="00846E9D"/>
    <w:rsid w:val="008549E9"/>
    <w:rsid w:val="00862F45"/>
    <w:rsid w:val="00866403"/>
    <w:rsid w:val="008857DE"/>
    <w:rsid w:val="0089433E"/>
    <w:rsid w:val="008A2B92"/>
    <w:rsid w:val="008B727D"/>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07D2C"/>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7F33"/>
    <w:rsid w:val="00DC0369"/>
    <w:rsid w:val="00DC0B75"/>
    <w:rsid w:val="00DE3740"/>
    <w:rsid w:val="00E422F7"/>
    <w:rsid w:val="00EB4D6E"/>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D1014-6677-484C-A6D2-EC75A2084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74</TotalTime>
  <Pages>1</Pages>
  <Words>2818</Words>
  <Characters>16064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Добролюбова А.А</dc:creator>
  <cp:keywords/>
  <dc:description/>
  <cp:lastModifiedBy>USER</cp:lastModifiedBy>
  <cp:revision>11</cp:revision>
  <dcterms:created xsi:type="dcterms:W3CDTF">2025-04-04T05:05:00Z</dcterms:created>
  <dcterms:modified xsi:type="dcterms:W3CDTF">2025-09-18T11:33:00Z</dcterms:modified>
</cp:coreProperties>
</file>